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250DC" w14:textId="1790E7E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85C64">
        <w:rPr>
          <w:rFonts w:cs="Arial"/>
          <w:bCs/>
          <w:sz w:val="22"/>
          <w:szCs w:val="22"/>
        </w:rPr>
        <w:t>RAN</w:t>
      </w:r>
      <w:bookmarkEnd w:id="0"/>
      <w:bookmarkEnd w:id="1"/>
      <w:bookmarkEnd w:id="2"/>
      <w:r w:rsidR="00285C64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D3040">
        <w:rPr>
          <w:rFonts w:cs="Arial"/>
          <w:bCs/>
          <w:sz w:val="22"/>
          <w:szCs w:val="22"/>
        </w:rPr>
        <w:t>#</w:t>
      </w:r>
      <w:r w:rsidR="00285C64">
        <w:rPr>
          <w:rFonts w:cs="Arial"/>
          <w:bCs/>
          <w:sz w:val="22"/>
          <w:szCs w:val="22"/>
        </w:rPr>
        <w:t>100</w:t>
      </w:r>
      <w:r w:rsidRPr="00DA53A0">
        <w:rPr>
          <w:rFonts w:cs="Arial"/>
          <w:bCs/>
          <w:sz w:val="22"/>
          <w:szCs w:val="22"/>
        </w:rPr>
        <w:tab/>
      </w:r>
      <w:r w:rsidR="00285C6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85C64">
        <w:rPr>
          <w:rFonts w:cs="Arial"/>
          <w:noProof w:val="0"/>
          <w:sz w:val="22"/>
          <w:szCs w:val="22"/>
        </w:rPr>
        <w:t>RP-2314</w:t>
      </w:r>
      <w:r w:rsidR="0077083F">
        <w:rPr>
          <w:rFonts w:cs="Arial"/>
          <w:noProof w:val="0"/>
          <w:sz w:val="22"/>
          <w:szCs w:val="22"/>
        </w:rPr>
        <w:t>85</w:t>
      </w:r>
    </w:p>
    <w:p w14:paraId="4C94D792" w14:textId="02E8663A" w:rsidR="004E3939" w:rsidRPr="00DA53A0" w:rsidRDefault="00285C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Taipei, 12</w:t>
      </w:r>
      <w:r w:rsidRPr="00285C6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14</w:t>
      </w:r>
      <w:r w:rsidRPr="00285C6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June 2023</w:t>
      </w:r>
    </w:p>
    <w:p w14:paraId="051ED91B" w14:textId="77777777" w:rsidR="00B97703" w:rsidRDefault="00B97703">
      <w:pPr>
        <w:rPr>
          <w:rFonts w:ascii="Arial" w:hAnsi="Arial" w:cs="Arial"/>
        </w:rPr>
      </w:pPr>
    </w:p>
    <w:p w14:paraId="0B7B84DA" w14:textId="28CDCA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E2B87">
        <w:rPr>
          <w:rFonts w:ascii="Arial" w:hAnsi="Arial" w:cs="Arial"/>
          <w:b/>
          <w:sz w:val="22"/>
          <w:szCs w:val="22"/>
        </w:rPr>
        <w:t>support of no-transmit zones for UAVs</w:t>
      </w:r>
    </w:p>
    <w:p w14:paraId="1CA460D6" w14:textId="134BE4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23A9B6" w14:textId="4A7382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5C64">
        <w:rPr>
          <w:rFonts w:ascii="Arial" w:hAnsi="Arial" w:cs="Arial"/>
          <w:b/>
          <w:bCs/>
          <w:sz w:val="22"/>
          <w:szCs w:val="22"/>
        </w:rPr>
        <w:t>Rel-18</w:t>
      </w:r>
      <w:r w:rsidR="0077083F">
        <w:rPr>
          <w:rFonts w:ascii="Arial" w:hAnsi="Arial" w:cs="Arial"/>
          <w:b/>
          <w:bCs/>
          <w:sz w:val="22"/>
          <w:szCs w:val="22"/>
        </w:rPr>
        <w:t>/Rel-19</w:t>
      </w:r>
    </w:p>
    <w:bookmarkEnd w:id="5"/>
    <w:bookmarkEnd w:id="6"/>
    <w:bookmarkEnd w:id="7"/>
    <w:p w14:paraId="18329F42" w14:textId="6020DD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146F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FE01DC" w14:textId="78E146F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5C64">
        <w:rPr>
          <w:rFonts w:ascii="Arial" w:hAnsi="Arial" w:cs="Arial"/>
          <w:b/>
          <w:sz w:val="22"/>
          <w:szCs w:val="22"/>
        </w:rPr>
        <w:t>TSG RAN</w:t>
      </w:r>
      <w:bookmarkEnd w:id="8"/>
      <w:bookmarkEnd w:id="9"/>
      <w:bookmarkEnd w:id="10"/>
    </w:p>
    <w:p w14:paraId="5E9A338E" w14:textId="68139E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5C64">
        <w:rPr>
          <w:rFonts w:ascii="Arial" w:hAnsi="Arial" w:cs="Arial"/>
          <w:b/>
          <w:bCs/>
          <w:sz w:val="22"/>
          <w:szCs w:val="22"/>
        </w:rPr>
        <w:t>SA2</w:t>
      </w:r>
    </w:p>
    <w:p w14:paraId="5CB8B83C" w14:textId="2D574E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083F">
        <w:rPr>
          <w:rFonts w:ascii="Arial" w:hAnsi="Arial" w:cs="Arial"/>
          <w:b/>
          <w:bCs/>
          <w:sz w:val="22"/>
          <w:szCs w:val="22"/>
        </w:rPr>
        <w:t>SA</w:t>
      </w:r>
    </w:p>
    <w:bookmarkEnd w:id="11"/>
    <w:bookmarkEnd w:id="12"/>
    <w:p w14:paraId="3580B3F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858A63" w14:textId="2728CB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5C64">
        <w:rPr>
          <w:rFonts w:ascii="Arial" w:hAnsi="Arial" w:cs="Arial"/>
          <w:b/>
          <w:bCs/>
          <w:sz w:val="22"/>
          <w:szCs w:val="22"/>
        </w:rPr>
        <w:t>Matthew Baker</w:t>
      </w:r>
    </w:p>
    <w:p w14:paraId="0F1AC884" w14:textId="457B875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85C64">
        <w:rPr>
          <w:rFonts w:ascii="Arial" w:hAnsi="Arial" w:cs="Arial"/>
          <w:b/>
          <w:bCs/>
          <w:sz w:val="22"/>
          <w:szCs w:val="22"/>
        </w:rPr>
        <w:t>matthew.baker@nokia.com</w:t>
      </w:r>
    </w:p>
    <w:p w14:paraId="118B2D8C" w14:textId="46F3252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5F132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F6B7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7B281E" w14:textId="0E7137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85C64" w:rsidRPr="001E2B87">
        <w:rPr>
          <w:rFonts w:ascii="Arial" w:hAnsi="Arial" w:cs="Arial"/>
          <w:b/>
        </w:rPr>
        <w:t>None</w:t>
      </w:r>
      <w:r w:rsidRPr="00017F23">
        <w:rPr>
          <w:color w:val="0070C0"/>
        </w:rPr>
        <w:t>.</w:t>
      </w:r>
    </w:p>
    <w:p w14:paraId="61BF1051" w14:textId="77777777" w:rsidR="00B97703" w:rsidRDefault="00B97703">
      <w:pPr>
        <w:rPr>
          <w:rFonts w:ascii="Arial" w:hAnsi="Arial" w:cs="Arial"/>
        </w:rPr>
      </w:pPr>
    </w:p>
    <w:p w14:paraId="79E1D25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9A3854" w14:textId="107B14C2" w:rsidR="00285C64" w:rsidRDefault="00285C64" w:rsidP="00285C64">
      <w:r w:rsidRPr="00285C64">
        <w:t xml:space="preserve">TSG RAN </w:t>
      </w:r>
      <w:r w:rsidR="00F60534">
        <w:t>is discussing</w:t>
      </w:r>
      <w:r w:rsidRPr="00285C64">
        <w:t xml:space="preserve"> the </w:t>
      </w:r>
      <w:r>
        <w:t xml:space="preserve">CEPT Decision 22(07) on </w:t>
      </w:r>
      <w:r w:rsidR="00D462F9">
        <w:t>h</w:t>
      </w:r>
      <w:r w:rsidRPr="007A3C78">
        <w:t>armonised technical conditions for the usage of aerial UE</w:t>
      </w:r>
      <w:r w:rsidR="00D462F9">
        <w:t>s</w:t>
      </w:r>
      <w:r w:rsidRPr="007A3C78">
        <w:t xml:space="preserve"> for communications based on LTE and 5G NR in </w:t>
      </w:r>
      <w:r>
        <w:t xml:space="preserve">several </w:t>
      </w:r>
      <w:r w:rsidRPr="007A3C78">
        <w:t>bands</w:t>
      </w:r>
      <w:r>
        <w:t xml:space="preserve"> harmonized for MFCN</w:t>
      </w:r>
      <w:r w:rsidR="00F60534">
        <w:t>, and specifically the matter of operational restrictions in the form</w:t>
      </w:r>
      <w:r>
        <w:t xml:space="preserve"> no-transmit zone</w:t>
      </w:r>
      <w:r w:rsidR="00F60534">
        <w:t>s</w:t>
      </w:r>
      <w:r>
        <w:t xml:space="preserve"> (NTZ</w:t>
      </w:r>
      <w:r w:rsidR="00F60534">
        <w:t>s</w:t>
      </w:r>
      <w:r>
        <w:t>), as shown in the following excerpt from the Decision: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5C64" w14:paraId="3BF0B27A" w14:textId="77777777" w:rsidTr="00BC0A4E">
        <w:tc>
          <w:tcPr>
            <w:tcW w:w="9629" w:type="dxa"/>
          </w:tcPr>
          <w:p w14:paraId="4D6F945B" w14:textId="36F10AE0" w:rsidR="00285C64" w:rsidRDefault="00285C64" w:rsidP="00BC0A4E">
            <w:pPr>
              <w:spacing w:before="240" w:after="60"/>
            </w:pPr>
            <w:r w:rsidRPr="000C4203">
              <w:t xml:space="preserve">In addition to the already </w:t>
            </w:r>
            <w:proofErr w:type="spellStart"/>
            <w:r w:rsidRPr="000C4203">
              <w:t>harmonised</w:t>
            </w:r>
            <w:proofErr w:type="spellEnd"/>
            <w:r w:rsidRPr="000C4203">
              <w:t xml:space="preserve"> technical conditions for MFCN bands and for spectrum compatibility purposes, there is the need to define some spectrum operational restrictions. This can be done using “no-transmit zones”, which should be defined at national level as a geographical area where aerial UE are not allowed to operate in a certain frequency band.</w:t>
            </w:r>
            <w:r>
              <w:t xml:space="preserve"> </w:t>
            </w:r>
            <w:r w:rsidR="00F60534">
              <w:t>…</w:t>
            </w:r>
            <w:r w:rsidRPr="000C4203">
              <w:t xml:space="preserve"> The requirement may apply to aerial UE according to their operational frequency band, e.g. aerial UE operating in a specific band or specific channel (see no-fly zone definition set out in ECC Report 309, in this Decision referred to as “no-transmit zone”). In some cases, operation of aerial UE also requires respective cross-border coordination agreements.</w:t>
            </w:r>
          </w:p>
          <w:p w14:paraId="4C9B367B" w14:textId="77777777" w:rsidR="00285C64" w:rsidRDefault="00285C64" w:rsidP="00BC0A4E">
            <w:pPr>
              <w:spacing w:before="240" w:after="60"/>
            </w:pPr>
            <w:r>
              <w:t>…</w:t>
            </w:r>
          </w:p>
          <w:p w14:paraId="7985FB33" w14:textId="77777777" w:rsidR="00285C64" w:rsidRPr="00D8027C" w:rsidRDefault="00285C64" w:rsidP="00BC0A4E">
            <w:pPr>
              <w:keepNext/>
              <w:pageBreakBefore/>
              <w:overflowPunct/>
              <w:autoSpaceDE/>
              <w:autoSpaceDN/>
              <w:adjustRightInd/>
              <w:spacing w:before="400" w:after="240"/>
              <w:textAlignment w:val="auto"/>
              <w:outlineLvl w:val="0"/>
              <w:rPr>
                <w:rFonts w:eastAsia="Times New Roman" w:cs="Arial"/>
                <w:b/>
                <w:bCs/>
                <w:caps/>
                <w:color w:val="D2232A"/>
                <w:kern w:val="32"/>
                <w:szCs w:val="32"/>
                <w:lang w:val="en-GB"/>
              </w:rPr>
            </w:pPr>
            <w:r w:rsidRPr="00D8027C">
              <w:rPr>
                <w:rFonts w:eastAsia="Times New Roman" w:cs="Arial"/>
                <w:b/>
                <w:bCs/>
                <w:caps/>
                <w:color w:val="D2232A"/>
                <w:kern w:val="32"/>
                <w:szCs w:val="32"/>
                <w:lang w:val="en-GB"/>
              </w:rPr>
              <w:t>ECC Decision of 18 november 2022 on Harmonised technical conditions for the usage of aerial UE for communications based on LTE and 5g NR in the 703-733 MHz, 832-862 MHz, 880-915 MHz ,1710-1785 MHz, 1920-1980 MHz, 2500-2570 MHz and 2570-2620 MHz MFCN harmonised bands (ECC decision (22)07)</w:t>
            </w:r>
          </w:p>
          <w:p w14:paraId="2402D0A9" w14:textId="77777777" w:rsidR="00285C64" w:rsidRPr="00D8027C" w:rsidRDefault="00285C64" w:rsidP="00BC0A4E">
            <w:pPr>
              <w:overflowPunct/>
              <w:autoSpaceDE/>
              <w:autoSpaceDN/>
              <w:adjustRightInd/>
              <w:spacing w:before="240" w:after="60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D8027C">
              <w:rPr>
                <w:rFonts w:eastAsia="Times New Roman"/>
                <w:szCs w:val="24"/>
                <w:lang w:val="en-GB"/>
              </w:rPr>
              <w:t>“The European Conference of Postal and Telecommunications Administrations,</w:t>
            </w:r>
          </w:p>
          <w:p w14:paraId="1B0BA40F" w14:textId="77777777" w:rsidR="00285C64" w:rsidRDefault="00285C64" w:rsidP="00BC0A4E">
            <w:pPr>
              <w:spacing w:before="240" w:after="60"/>
              <w:rPr>
                <w:rFonts w:eastAsia="Times New Roman"/>
                <w:i/>
                <w:iCs/>
                <w:color w:val="D2232A"/>
                <w:szCs w:val="24"/>
              </w:rPr>
            </w:pPr>
            <w:r w:rsidRPr="00D8027C">
              <w:rPr>
                <w:rFonts w:eastAsia="Times New Roman"/>
                <w:i/>
                <w:iCs/>
                <w:color w:val="D2232A"/>
                <w:szCs w:val="24"/>
              </w:rPr>
              <w:t>Considering</w:t>
            </w:r>
          </w:p>
          <w:p w14:paraId="28A1A3ED" w14:textId="77777777" w:rsidR="00285C64" w:rsidRDefault="00285C64" w:rsidP="00BC0A4E">
            <w:pPr>
              <w:spacing w:before="240" w:after="60"/>
              <w:rPr>
                <w:rFonts w:eastAsia="Times New Roman"/>
                <w:i/>
                <w:iCs/>
                <w:color w:val="D2232A"/>
                <w:szCs w:val="24"/>
              </w:rPr>
            </w:pPr>
            <w:r>
              <w:rPr>
                <w:rFonts w:eastAsia="Times New Roman"/>
                <w:i/>
                <w:iCs/>
                <w:color w:val="D2232A"/>
                <w:szCs w:val="24"/>
              </w:rPr>
              <w:t>…</w:t>
            </w:r>
          </w:p>
          <w:p w14:paraId="5C1A71B8" w14:textId="77777777" w:rsidR="00285C64" w:rsidRPr="00D8027C" w:rsidRDefault="00285C64" w:rsidP="00285C64">
            <w:pPr>
              <w:numPr>
                <w:ilvl w:val="0"/>
                <w:numId w:val="5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after="240"/>
              <w:ind w:left="597" w:hanging="567"/>
              <w:jc w:val="both"/>
              <w:textAlignment w:val="auto"/>
              <w:rPr>
                <w:rFonts w:eastAsia="Times New Roman"/>
                <w:szCs w:val="24"/>
              </w:rPr>
            </w:pPr>
            <w:r w:rsidRPr="00D8027C">
              <w:rPr>
                <w:rFonts w:eastAsia="Times New Roman"/>
                <w:szCs w:val="24"/>
              </w:rPr>
              <w:t xml:space="preserve">that a no-transmit zone in this Decision is defined as a geographical area where aerial UE are not allowed to transmit for spectrum compatibility purposes in a given </w:t>
            </w:r>
            <w:proofErr w:type="spellStart"/>
            <w:r w:rsidRPr="00D8027C">
              <w:rPr>
                <w:rFonts w:eastAsia="Times New Roman"/>
                <w:szCs w:val="24"/>
              </w:rPr>
              <w:t>harmonised</w:t>
            </w:r>
            <w:proofErr w:type="spellEnd"/>
            <w:r w:rsidRPr="00D8027C">
              <w:rPr>
                <w:rFonts w:eastAsia="Times New Roman"/>
                <w:szCs w:val="24"/>
              </w:rPr>
              <w:t xml:space="preserve"> MFCN band or part of it;</w:t>
            </w:r>
          </w:p>
          <w:p w14:paraId="7D8989A4" w14:textId="77777777" w:rsidR="00285C64" w:rsidRPr="00D8027C" w:rsidRDefault="00285C64" w:rsidP="00285C64">
            <w:pPr>
              <w:numPr>
                <w:ilvl w:val="0"/>
                <w:numId w:val="5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after="240"/>
              <w:ind w:left="567" w:hanging="567"/>
              <w:jc w:val="both"/>
              <w:textAlignment w:val="auto"/>
              <w:rPr>
                <w:rFonts w:eastAsia="Times New Roman"/>
                <w:szCs w:val="24"/>
                <w:lang w:val="en-GB"/>
              </w:rPr>
            </w:pPr>
            <w:r w:rsidRPr="00D8027C">
              <w:rPr>
                <w:rFonts w:eastAsia="Times New Roman"/>
                <w:szCs w:val="24"/>
                <w:lang w:val="en-GB"/>
              </w:rPr>
              <w:lastRenderedPageBreak/>
              <w:t>that national studies are needed, as appropriate, to define no-transmit zones for spectrum compatibility purposes, for aerial UE operating in the relevant frequency bands;</w:t>
            </w:r>
            <w:r w:rsidRPr="00D8027C">
              <w:rPr>
                <w:rFonts w:eastAsia="Times New Roman"/>
                <w:szCs w:val="24"/>
              </w:rPr>
              <w:t xml:space="preserve"> </w:t>
            </w:r>
          </w:p>
          <w:p w14:paraId="207244B4" w14:textId="77777777" w:rsidR="00285C64" w:rsidRPr="00D8027C" w:rsidRDefault="00285C64" w:rsidP="00285C64">
            <w:pPr>
              <w:numPr>
                <w:ilvl w:val="0"/>
                <w:numId w:val="5"/>
              </w:numPr>
              <w:tabs>
                <w:tab w:val="left" w:pos="567"/>
              </w:tabs>
              <w:overflowPunct/>
              <w:autoSpaceDE/>
              <w:autoSpaceDN/>
              <w:adjustRightInd/>
              <w:spacing w:after="240"/>
              <w:ind w:left="567" w:hanging="567"/>
              <w:jc w:val="both"/>
              <w:textAlignment w:val="auto"/>
              <w:rPr>
                <w:rFonts w:eastAsia="Times New Roman"/>
                <w:szCs w:val="24"/>
              </w:rPr>
            </w:pPr>
            <w:r w:rsidRPr="00D8027C">
              <w:rPr>
                <w:rFonts w:eastAsia="Times New Roman"/>
                <w:szCs w:val="24"/>
              </w:rPr>
              <w:t>that a mechanism is necessary to ensure that aerial UE respect no-transmit zones;</w:t>
            </w:r>
          </w:p>
          <w:p w14:paraId="5AC26510" w14:textId="77777777" w:rsidR="00285C64" w:rsidRDefault="00285C64" w:rsidP="00BC0A4E">
            <w:pPr>
              <w:spacing w:before="240" w:after="6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6EABEF13" w14:textId="77777777" w:rsidR="00285C64" w:rsidRDefault="00285C64" w:rsidP="00BC0A4E">
            <w:pPr>
              <w:overflowPunct/>
              <w:autoSpaceDE/>
              <w:autoSpaceDN/>
              <w:adjustRightInd/>
              <w:spacing w:before="240" w:after="60"/>
              <w:textAlignment w:val="auto"/>
              <w:rPr>
                <w:rFonts w:eastAsia="Times New Roman" w:cs="Arial"/>
                <w:i/>
                <w:color w:val="D2232A"/>
                <w:szCs w:val="24"/>
                <w:lang w:val="en-GB"/>
              </w:rPr>
            </w:pPr>
            <w:r w:rsidRPr="00D8027C">
              <w:rPr>
                <w:rFonts w:eastAsia="Times New Roman" w:cs="Arial"/>
                <w:i/>
                <w:color w:val="D2232A"/>
                <w:szCs w:val="24"/>
                <w:lang w:val="en-GB"/>
              </w:rPr>
              <w:t>DECIDES</w:t>
            </w:r>
          </w:p>
          <w:p w14:paraId="54FFAB0E" w14:textId="77777777" w:rsidR="00285C64" w:rsidRPr="00D8027C" w:rsidRDefault="00285C64" w:rsidP="00BC0A4E">
            <w:pPr>
              <w:overflowPunct/>
              <w:autoSpaceDE/>
              <w:autoSpaceDN/>
              <w:adjustRightInd/>
              <w:spacing w:before="240" w:after="60"/>
              <w:textAlignment w:val="auto"/>
              <w:rPr>
                <w:rFonts w:eastAsia="Times New Roman" w:cs="Arial"/>
                <w:i/>
                <w:color w:val="D2232A"/>
                <w:szCs w:val="24"/>
                <w:lang w:val="en-GB"/>
              </w:rPr>
            </w:pPr>
            <w:r>
              <w:rPr>
                <w:rFonts w:eastAsia="Times New Roman" w:cs="Arial"/>
                <w:i/>
                <w:color w:val="D2232A"/>
                <w:szCs w:val="24"/>
                <w:lang w:val="en-GB"/>
              </w:rPr>
              <w:t>….</w:t>
            </w:r>
          </w:p>
          <w:p w14:paraId="6F521B5D" w14:textId="77777777" w:rsidR="00285C64" w:rsidRDefault="00285C64" w:rsidP="00BC0A4E">
            <w:pPr>
              <w:spacing w:before="240" w:after="60"/>
              <w:rPr>
                <w:lang w:val="en-GB"/>
              </w:rPr>
            </w:pPr>
            <w:r w:rsidRPr="00D8027C">
              <w:rPr>
                <w:rFonts w:eastAsia="Times New Roman"/>
                <w:szCs w:val="24"/>
              </w:rPr>
              <w:t>t</w:t>
            </w:r>
            <w:r w:rsidRPr="00D8027C">
              <w:rPr>
                <w:rFonts w:eastAsia="Times New Roman"/>
                <w:iCs/>
                <w:szCs w:val="24"/>
              </w:rPr>
              <w:t xml:space="preserve">hat no-transmit zones as described in this Decision should be defined and implemented at national level and where necessary coordinated with </w:t>
            </w:r>
            <w:proofErr w:type="spellStart"/>
            <w:r w:rsidRPr="00D8027C">
              <w:rPr>
                <w:rFonts w:eastAsia="Times New Roman"/>
                <w:iCs/>
                <w:szCs w:val="24"/>
              </w:rPr>
              <w:t>neighbouring</w:t>
            </w:r>
            <w:proofErr w:type="spellEnd"/>
            <w:r w:rsidRPr="00D8027C">
              <w:rPr>
                <w:rFonts w:eastAsia="Times New Roman"/>
                <w:iCs/>
                <w:szCs w:val="24"/>
              </w:rPr>
              <w:t xml:space="preserve"> countries;</w:t>
            </w:r>
          </w:p>
        </w:tc>
      </w:tr>
    </w:tbl>
    <w:p w14:paraId="1BFBB72F" w14:textId="68E59195" w:rsidR="00285C64" w:rsidRDefault="00285C64" w:rsidP="00285C64"/>
    <w:p w14:paraId="4A0EFF15" w14:textId="6094F0E8" w:rsidR="00D462F9" w:rsidRDefault="006F797A" w:rsidP="00285C64">
      <w:r>
        <w:t xml:space="preserve">TSG RAN agreed that the above requirement will be addressed. But in order to know if and what the impact </w:t>
      </w:r>
      <w:r w:rsidR="0032348F">
        <w:t>might</w:t>
      </w:r>
      <w:r>
        <w:t xml:space="preserve"> be to RAN WGs, </w:t>
      </w:r>
      <w:r w:rsidR="00D462F9" w:rsidRPr="00285C64">
        <w:t xml:space="preserve">TSG RAN </w:t>
      </w:r>
      <w:r w:rsidR="00D462F9">
        <w:t xml:space="preserve">would like to know whether </w:t>
      </w:r>
      <w:r w:rsidR="0032348F">
        <w:t xml:space="preserve">and how </w:t>
      </w:r>
      <w:r w:rsidR="00D462F9">
        <w:t xml:space="preserve">SA2 </w:t>
      </w:r>
      <w:r w:rsidR="00835FA9">
        <w:t>intends to address these operational requirements for geographical no-transmit zones</w:t>
      </w:r>
      <w:r w:rsidR="0077083F">
        <w:t xml:space="preserve"> (e.g. at application layer)</w:t>
      </w:r>
      <w:r w:rsidR="00835FA9">
        <w:t xml:space="preserve">. </w:t>
      </w:r>
    </w:p>
    <w:p w14:paraId="5F4A6B75" w14:textId="22AF36C8" w:rsidR="00B97703" w:rsidRPr="000F6242" w:rsidRDefault="00B97703" w:rsidP="000F6242">
      <w:pPr>
        <w:rPr>
          <w:i/>
          <w:iCs/>
          <w:color w:val="0070C0"/>
        </w:rPr>
      </w:pPr>
    </w:p>
    <w:p w14:paraId="4509481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1F5E78" w14:textId="69721B5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E2B87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76D9BDD6" w14:textId="00196C94" w:rsidR="00B97703" w:rsidRPr="0077083F" w:rsidRDefault="00B97703" w:rsidP="001E2B87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="001E2B87">
        <w:rPr>
          <w:color w:val="0070C0"/>
        </w:rPr>
        <w:t xml:space="preserve"> </w:t>
      </w:r>
      <w:r w:rsidR="0077083F" w:rsidRPr="0077083F">
        <w:rPr>
          <w:color w:val="000000" w:themeColor="text1"/>
        </w:rPr>
        <w:t xml:space="preserve">Given the need to respond to ECC, </w:t>
      </w:r>
      <w:r w:rsidR="001E2B87" w:rsidRPr="0077083F">
        <w:rPr>
          <w:color w:val="000000" w:themeColor="text1"/>
        </w:rPr>
        <w:t xml:space="preserve">TSG RAN respectfully asks SA2 for their view on solutions to support </w:t>
      </w:r>
      <w:r w:rsidR="00835FA9" w:rsidRPr="0077083F">
        <w:rPr>
          <w:color w:val="000000" w:themeColor="text1"/>
        </w:rPr>
        <w:t xml:space="preserve">geographical </w:t>
      </w:r>
      <w:r w:rsidR="001E2B87" w:rsidRPr="0077083F">
        <w:rPr>
          <w:color w:val="000000" w:themeColor="text1"/>
        </w:rPr>
        <w:t xml:space="preserve">no-transmit zones for UAVs according to the operational restrictions outlined in CEPT Decision 22(07), including whether </w:t>
      </w:r>
      <w:r w:rsidR="002D3040" w:rsidRPr="0077083F">
        <w:rPr>
          <w:color w:val="000000" w:themeColor="text1"/>
        </w:rPr>
        <w:t xml:space="preserve">and how </w:t>
      </w:r>
      <w:r w:rsidR="001E2B87" w:rsidRPr="0077083F">
        <w:rPr>
          <w:color w:val="000000" w:themeColor="text1"/>
        </w:rPr>
        <w:t xml:space="preserve">SA2 intends to address this </w:t>
      </w:r>
      <w:r w:rsidR="002D3040" w:rsidRPr="0077083F">
        <w:rPr>
          <w:color w:val="000000" w:themeColor="text1"/>
        </w:rPr>
        <w:t>and/</w:t>
      </w:r>
      <w:r w:rsidR="001E2B87" w:rsidRPr="0077083F">
        <w:rPr>
          <w:color w:val="000000" w:themeColor="text1"/>
        </w:rPr>
        <w:t xml:space="preserve">or whether RAN WGs should consider solutions. </w:t>
      </w:r>
    </w:p>
    <w:p w14:paraId="1A54B5C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CE50A9" w14:textId="44BF779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E2B8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BF9342C" w14:textId="40DB544C" w:rsidR="002F1940" w:rsidRDefault="001E2B87" w:rsidP="002F1940">
      <w:bookmarkStart w:id="13" w:name="OLE_LINK55"/>
      <w:bookmarkStart w:id="14" w:name="OLE_LINK56"/>
      <w:bookmarkStart w:id="15" w:name="OLE_LINK53"/>
      <w:bookmarkStart w:id="16" w:name="OLE_LINK54"/>
      <w:r>
        <w:t>RAN#101</w:t>
      </w:r>
      <w:r w:rsidR="002F1940">
        <w:tab/>
      </w:r>
      <w:bookmarkEnd w:id="13"/>
      <w:bookmarkEnd w:id="14"/>
      <w:r w:rsidR="00835FA9">
        <w:t>11</w:t>
      </w:r>
      <w:r w:rsidR="00835FA9" w:rsidRPr="00835FA9">
        <w:rPr>
          <w:vertAlign w:val="superscript"/>
        </w:rPr>
        <w:t>th</w:t>
      </w:r>
      <w:r w:rsidR="00835FA9">
        <w:t xml:space="preserve"> – 15</w:t>
      </w:r>
      <w:r w:rsidR="00835FA9" w:rsidRPr="00835FA9">
        <w:rPr>
          <w:vertAlign w:val="superscript"/>
        </w:rPr>
        <w:t>th</w:t>
      </w:r>
      <w:r w:rsidR="00835FA9">
        <w:t xml:space="preserve"> September, 2023, Bangalore, India     </w:t>
      </w:r>
    </w:p>
    <w:p w14:paraId="7253281D" w14:textId="19BCB5A8" w:rsidR="002F1940" w:rsidRPr="002F1940" w:rsidRDefault="001E2B87" w:rsidP="002F1940">
      <w:r>
        <w:t>RAN#102</w:t>
      </w:r>
      <w:r w:rsidR="002F1940">
        <w:tab/>
      </w:r>
      <w:r w:rsidR="00835FA9">
        <w:t>11</w:t>
      </w:r>
      <w:r w:rsidR="00835FA9" w:rsidRPr="00835FA9">
        <w:rPr>
          <w:vertAlign w:val="superscript"/>
        </w:rPr>
        <w:t>th</w:t>
      </w:r>
      <w:r w:rsidR="00835FA9">
        <w:t xml:space="preserve"> – 15</w:t>
      </w:r>
      <w:r w:rsidR="00835FA9" w:rsidRPr="00835FA9">
        <w:rPr>
          <w:vertAlign w:val="superscript"/>
        </w:rPr>
        <w:t>th</w:t>
      </w:r>
      <w:r w:rsidR="00835FA9">
        <w:t xml:space="preserve"> December, 2023, Edinburgh, UK</w:t>
      </w:r>
    </w:p>
    <w:bookmarkEnd w:id="15"/>
    <w:bookmarkEnd w:id="16"/>
    <w:p w14:paraId="7B36E03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30E0C" w14:textId="77777777" w:rsidR="000671FA" w:rsidRDefault="000671FA">
      <w:pPr>
        <w:spacing w:after="0"/>
      </w:pPr>
      <w:r>
        <w:separator/>
      </w:r>
    </w:p>
  </w:endnote>
  <w:endnote w:type="continuationSeparator" w:id="0">
    <w:p w14:paraId="2AE86900" w14:textId="77777777" w:rsidR="000671FA" w:rsidRDefault="000671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8A4C" w14:textId="77777777" w:rsidR="000671FA" w:rsidRDefault="000671FA">
      <w:pPr>
        <w:spacing w:after="0"/>
      </w:pPr>
      <w:r>
        <w:separator/>
      </w:r>
    </w:p>
  </w:footnote>
  <w:footnote w:type="continuationSeparator" w:id="0">
    <w:p w14:paraId="05A47DD5" w14:textId="77777777" w:rsidR="000671FA" w:rsidRDefault="000671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902580">
    <w:abstractNumId w:val="3"/>
  </w:num>
  <w:num w:numId="2" w16cid:durableId="1800756591">
    <w:abstractNumId w:val="2"/>
  </w:num>
  <w:num w:numId="3" w16cid:durableId="74057895">
    <w:abstractNumId w:val="1"/>
  </w:num>
  <w:num w:numId="4" w16cid:durableId="194395704">
    <w:abstractNumId w:val="0"/>
  </w:num>
  <w:num w:numId="5" w16cid:durableId="11857056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F50"/>
    <w:rsid w:val="000671FA"/>
    <w:rsid w:val="000F6242"/>
    <w:rsid w:val="001E2B87"/>
    <w:rsid w:val="00285C64"/>
    <w:rsid w:val="002D3040"/>
    <w:rsid w:val="002F1940"/>
    <w:rsid w:val="0032348F"/>
    <w:rsid w:val="00383545"/>
    <w:rsid w:val="00433500"/>
    <w:rsid w:val="00433F71"/>
    <w:rsid w:val="00440D43"/>
    <w:rsid w:val="004E3939"/>
    <w:rsid w:val="006F797A"/>
    <w:rsid w:val="0077083F"/>
    <w:rsid w:val="007F4F92"/>
    <w:rsid w:val="00835FA9"/>
    <w:rsid w:val="008D772F"/>
    <w:rsid w:val="0099764C"/>
    <w:rsid w:val="00B97703"/>
    <w:rsid w:val="00C323DE"/>
    <w:rsid w:val="00CD4F29"/>
    <w:rsid w:val="00CF6087"/>
    <w:rsid w:val="00D462F9"/>
    <w:rsid w:val="00F6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B705A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rsid w:val="00285C64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7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Matthew Baker</cp:lastModifiedBy>
  <cp:revision>2</cp:revision>
  <cp:lastPrinted>2002-04-23T07:10:00Z</cp:lastPrinted>
  <dcterms:created xsi:type="dcterms:W3CDTF">2023-06-13T10:34:00Z</dcterms:created>
  <dcterms:modified xsi:type="dcterms:W3CDTF">2023-06-13T10:34:00Z</dcterms:modified>
</cp:coreProperties>
</file>